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5C786B">
      <w:pPr>
        <w:spacing w:line="635" w:lineRule="exact"/>
        <w:ind w:firstLine="420" w:firstLineChars="200"/>
        <w:jc w:val="right"/>
        <w:rPr>
          <w:rFonts w:asciiTheme="minorEastAsia" w:hAnsiTheme="minorEastAsia" w:eastAsiaTheme="minorEastAsia"/>
        </w:rPr>
      </w:pPr>
      <w:bookmarkStart w:id="0" w:name="_GoBack"/>
      <w:bookmarkEnd w:id="0"/>
      <w:r>
        <w:rPr>
          <w:rFonts w:asciiTheme="minorEastAsia" w:hAnsiTheme="minorEastAsia" w:eastAsiaTheme="minorEastAsia"/>
          <w:position w:val="-12"/>
          <w:lang w:eastAsia="zh-CN"/>
        </w:rPr>
        <w:drawing>
          <wp:inline distT="0" distB="0" distL="0" distR="0">
            <wp:extent cx="1743710" cy="403225"/>
            <wp:effectExtent l="0" t="0" r="8890" b="3175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4131" cy="4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F576">
      <w:pPr>
        <w:pStyle w:val="6"/>
        <w:spacing w:line="248" w:lineRule="auto"/>
        <w:rPr>
          <w:rFonts w:asciiTheme="minorEastAsia" w:hAnsiTheme="minorEastAsia" w:eastAsiaTheme="minorEastAsia"/>
        </w:rPr>
      </w:pPr>
    </w:p>
    <w:p w14:paraId="6EBA3A72">
      <w:pPr>
        <w:pStyle w:val="6"/>
        <w:spacing w:line="248" w:lineRule="auto"/>
        <w:rPr>
          <w:rFonts w:asciiTheme="minorEastAsia" w:hAnsiTheme="minorEastAsia" w:eastAsiaTheme="minorEastAsia"/>
        </w:rPr>
      </w:pPr>
    </w:p>
    <w:p w14:paraId="1FB94B37">
      <w:pPr>
        <w:pStyle w:val="6"/>
        <w:spacing w:line="249" w:lineRule="auto"/>
        <w:rPr>
          <w:rFonts w:asciiTheme="minorEastAsia" w:hAnsiTheme="minorEastAsia" w:eastAsiaTheme="minorEastAsia"/>
        </w:rPr>
      </w:pPr>
    </w:p>
    <w:p w14:paraId="64641D98">
      <w:pPr>
        <w:pStyle w:val="6"/>
        <w:spacing w:line="249" w:lineRule="auto"/>
        <w:rPr>
          <w:rFonts w:asciiTheme="minorEastAsia" w:hAnsiTheme="minorEastAsia" w:eastAsiaTheme="minorEastAsia"/>
        </w:rPr>
      </w:pPr>
    </w:p>
    <w:p w14:paraId="698E8531">
      <w:pPr>
        <w:pStyle w:val="6"/>
        <w:spacing w:line="249" w:lineRule="auto"/>
        <w:rPr>
          <w:rFonts w:asciiTheme="minorEastAsia" w:hAnsiTheme="minorEastAsia" w:eastAsiaTheme="minorEastAsia"/>
        </w:rPr>
      </w:pPr>
    </w:p>
    <w:p w14:paraId="0C5B7FF9">
      <w:pPr>
        <w:pStyle w:val="6"/>
        <w:spacing w:line="249" w:lineRule="auto"/>
        <w:rPr>
          <w:rFonts w:asciiTheme="minorEastAsia" w:hAnsiTheme="minorEastAsia" w:eastAsiaTheme="minorEastAsia"/>
        </w:rPr>
      </w:pPr>
    </w:p>
    <w:p w14:paraId="5CE58809">
      <w:pPr>
        <w:pStyle w:val="6"/>
        <w:spacing w:line="249" w:lineRule="auto"/>
        <w:jc w:val="right"/>
        <w:rPr>
          <w:rFonts w:asciiTheme="minorEastAsia" w:hAnsiTheme="minorEastAsia" w:eastAsiaTheme="minorEastAsia"/>
        </w:rPr>
      </w:pPr>
    </w:p>
    <w:p w14:paraId="40E65401">
      <w:pPr>
        <w:pStyle w:val="6"/>
        <w:spacing w:line="249" w:lineRule="auto"/>
        <w:rPr>
          <w:rFonts w:asciiTheme="minorEastAsia" w:hAnsiTheme="minorEastAsia" w:eastAsiaTheme="minorEastAsia"/>
        </w:rPr>
      </w:pPr>
    </w:p>
    <w:p w14:paraId="50FD2CDE">
      <w:pPr>
        <w:pStyle w:val="6"/>
        <w:spacing w:line="249" w:lineRule="auto"/>
        <w:rPr>
          <w:rFonts w:asciiTheme="minorEastAsia" w:hAnsiTheme="minorEastAsia" w:eastAsiaTheme="minorEastAsia"/>
        </w:rPr>
      </w:pPr>
    </w:p>
    <w:p w14:paraId="7A18D89E">
      <w:pPr>
        <w:ind w:firstLine="1084" w:firstLineChars="200"/>
        <w:jc w:val="center"/>
        <w:outlineLvl w:val="0"/>
        <w:rPr>
          <w:rFonts w:cs="PingFang SC" w:asciiTheme="minorEastAsia" w:hAnsiTheme="minorEastAsia" w:eastAsiaTheme="minorEastAsia"/>
          <w:b/>
          <w:bCs/>
          <w:spacing w:val="-10"/>
          <w:sz w:val="56"/>
          <w:szCs w:val="56"/>
        </w:rPr>
      </w:pPr>
      <w:r>
        <w:rPr>
          <w:rFonts w:cs="PingFang SC" w:asciiTheme="minorEastAsia" w:hAnsiTheme="minorEastAsia" w:eastAsiaTheme="minorEastAsia"/>
          <w:b/>
          <w:bCs/>
          <w:spacing w:val="-10"/>
          <w:sz w:val="56"/>
          <w:szCs w:val="56"/>
        </w:rPr>
        <w:t>大型仪器共享管理系统</w:t>
      </w:r>
    </w:p>
    <w:p w14:paraId="2ACF3E57">
      <w:pPr>
        <w:ind w:firstLine="936" w:firstLineChars="200"/>
        <w:jc w:val="center"/>
        <w:outlineLvl w:val="0"/>
        <w:rPr>
          <w:rFonts w:cs="PingFang SC" w:asciiTheme="minorEastAsia" w:hAnsiTheme="minorEastAsia" w:eastAsiaTheme="minorEastAsia"/>
          <w:sz w:val="48"/>
          <w:szCs w:val="48"/>
        </w:rPr>
      </w:pPr>
      <w:r>
        <w:rPr>
          <w:rFonts w:cs="PingFang SC" w:asciiTheme="minorEastAsia" w:hAnsiTheme="minorEastAsia" w:eastAsiaTheme="minorEastAsia"/>
          <w:b/>
          <w:bCs/>
          <w:spacing w:val="-7"/>
          <w:sz w:val="48"/>
          <w:szCs w:val="48"/>
        </w:rPr>
        <w:t>仪器负责人使用手册</w:t>
      </w:r>
    </w:p>
    <w:p w14:paraId="1294F822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30562080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71DA33D4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7D9F70C5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102FC8C7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21ADAFA0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115EBEA1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18CCB517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1E986212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3703497E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349ED777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51C310BA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566A4AB5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5146A8FB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6E356066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5F9AE006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609D1E7B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04CD81CD">
      <w:pPr>
        <w:pStyle w:val="6"/>
        <w:spacing w:line="241" w:lineRule="auto"/>
        <w:rPr>
          <w:rFonts w:asciiTheme="minorEastAsia" w:hAnsiTheme="minorEastAsia" w:eastAsiaTheme="minorEastAsia"/>
        </w:rPr>
      </w:pPr>
    </w:p>
    <w:p w14:paraId="7F56ECC8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04803CDD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4E8A0229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07487D36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4EE4EE03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712494C0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756FE8A5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1CDC9666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133FE99A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71A08F36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264F372D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422CCC3E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2C5C6866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2FC39C94">
      <w:pPr>
        <w:pStyle w:val="6"/>
        <w:spacing w:line="242" w:lineRule="auto"/>
        <w:rPr>
          <w:rFonts w:asciiTheme="minorEastAsia" w:hAnsiTheme="minorEastAsia" w:eastAsiaTheme="minorEastAsia"/>
        </w:rPr>
      </w:pPr>
    </w:p>
    <w:p w14:paraId="2EC632E1">
      <w:pPr>
        <w:pStyle w:val="6"/>
        <w:ind w:firstLine="400" w:firstLineChars="200"/>
        <w:jc w:val="center"/>
        <w:rPr>
          <w:rFonts w:asciiTheme="minorEastAsia" w:hAnsiTheme="minorEastAsia" w:eastAsiaTheme="minorEastAsia"/>
          <w:spacing w:val="-1"/>
          <w:position w:val="-1"/>
          <w:sz w:val="20"/>
          <w:szCs w:val="20"/>
        </w:rPr>
      </w:pPr>
      <w:r>
        <w:rPr>
          <w:rFonts w:cs="PingFang SC" w:asciiTheme="minorEastAsia" w:hAnsiTheme="minorEastAsia" w:eastAsiaTheme="minorEastAsia"/>
          <w:sz w:val="20"/>
          <w:szCs w:val="20"/>
        </w:rPr>
        <w:t>天津市基理科技股份有限</w:t>
      </w:r>
      <w:r>
        <w:rPr>
          <w:rFonts w:hint="eastAsia" w:cs="PingFang SC" w:asciiTheme="minorEastAsia" w:hAnsiTheme="minorEastAsia" w:eastAsiaTheme="minorEastAsia"/>
          <w:sz w:val="20"/>
          <w:szCs w:val="20"/>
          <w:lang w:eastAsia="zh-CN"/>
        </w:rPr>
        <w:t>公司</w:t>
      </w:r>
      <w:r>
        <w:rPr>
          <w:rFonts w:cs="PingFang SC" w:asciiTheme="minorEastAsia" w:hAnsiTheme="minorEastAsia" w:eastAsiaTheme="minorEastAsia"/>
          <w:sz w:val="20"/>
          <w:szCs w:val="20"/>
        </w:rPr>
        <w:t xml:space="preserve">                                                                              </w:t>
      </w:r>
      <w:r>
        <w:rPr>
          <w:rFonts w:asciiTheme="minorEastAsia" w:hAnsiTheme="minorEastAsia" w:eastAsiaTheme="minorEastAsia"/>
          <w:spacing w:val="-1"/>
          <w:position w:val="-1"/>
          <w:sz w:val="20"/>
          <w:szCs w:val="20"/>
        </w:rPr>
        <w:t>400-017-5664</w:t>
      </w:r>
    </w:p>
    <w:p w14:paraId="086DFF72">
      <w:pPr>
        <w:pStyle w:val="6"/>
        <w:ind w:firstLine="396" w:firstLineChars="200"/>
        <w:jc w:val="center"/>
        <w:rPr>
          <w:rFonts w:asciiTheme="minorEastAsia" w:hAnsiTheme="minorEastAsia" w:eastAsiaTheme="minorEastAsia"/>
          <w:spacing w:val="-1"/>
          <w:position w:val="-1"/>
          <w:sz w:val="20"/>
          <w:szCs w:val="20"/>
        </w:rPr>
      </w:pPr>
    </w:p>
    <w:p w14:paraId="72E41A47">
      <w:pPr>
        <w:pStyle w:val="6"/>
        <w:ind w:firstLine="396" w:firstLineChars="200"/>
        <w:jc w:val="center"/>
        <w:rPr>
          <w:rFonts w:asciiTheme="minorEastAsia" w:hAnsiTheme="minorEastAsia" w:eastAsiaTheme="minorEastAsia"/>
          <w:spacing w:val="-1"/>
          <w:position w:val="-1"/>
          <w:sz w:val="20"/>
          <w:szCs w:val="20"/>
          <w:lang w:eastAsia="zh-CN"/>
        </w:rPr>
      </w:pPr>
    </w:p>
    <w:p w14:paraId="39FB8739">
      <w:pPr>
        <w:numPr>
          <w:ilvl w:val="0"/>
          <w:numId w:val="1"/>
        </w:numPr>
        <w:ind w:left="0" w:firstLine="0"/>
        <w:jc w:val="both"/>
        <w:outlineLvl w:val="1"/>
        <w:rPr>
          <w:rFonts w:asciiTheme="minorEastAsia" w:hAnsiTheme="minorEastAsia" w:eastAsiaTheme="minorEastAsia"/>
          <w:sz w:val="40"/>
          <w:szCs w:val="40"/>
          <w:lang w:eastAsia="zh-CN"/>
        </w:rPr>
      </w:pPr>
      <w:r>
        <w:rPr>
          <w:rFonts w:hint="eastAsia" w:asciiTheme="minorEastAsia" w:hAnsiTheme="minorEastAsia" w:eastAsiaTheme="minorEastAsia"/>
          <w:sz w:val="40"/>
          <w:szCs w:val="40"/>
          <w:lang w:eastAsia="zh-CN"/>
        </w:rPr>
        <w:t>业务流程</w:t>
      </w:r>
    </w:p>
    <w:p w14:paraId="07E0879C">
      <w:pPr>
        <w:spacing w:line="360" w:lineRule="auto"/>
        <w:outlineLvl w:val="1"/>
        <w:rPr>
          <w:rFonts w:asciiTheme="minorEastAsia" w:hAnsiTheme="minorEastAsia" w:eastAsiaTheme="minorEastAsia"/>
          <w:sz w:val="40"/>
          <w:szCs w:val="40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0" distR="0">
            <wp:extent cx="5257800" cy="4210050"/>
            <wp:effectExtent l="0" t="0" r="0" b="635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40"/>
          <w:szCs w:val="40"/>
          <w:lang w:eastAsia="zh-CN"/>
        </w:rPr>
        <w:t>2.使用指南</w:t>
      </w:r>
    </w:p>
    <w:p w14:paraId="57B1AA30">
      <w:pPr>
        <w:spacing w:line="360" w:lineRule="auto"/>
        <w:outlineLvl w:val="2"/>
        <w:rPr>
          <w:rFonts w:asciiTheme="minorEastAsia" w:hAnsiTheme="minorEastAsia" w:eastAsia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/>
          <w:sz w:val="32"/>
          <w:szCs w:val="32"/>
          <w:lang w:eastAsia="zh-CN"/>
        </w:rPr>
        <w:t>2.1</w:t>
      </w:r>
      <w:r>
        <w:rPr>
          <w:rFonts w:hint="eastAsia" w:asciiTheme="minorEastAsia" w:hAnsiTheme="minorEastAsia" w:eastAsiaTheme="minorEastAsia"/>
          <w:sz w:val="36"/>
          <w:szCs w:val="36"/>
          <w:lang w:eastAsia="zh-CN"/>
        </w:rPr>
        <w:t>仪器负责人财务操作说明</w:t>
      </w:r>
    </w:p>
    <w:p w14:paraId="1F06AA93">
      <w:pPr>
        <w:spacing w:line="360" w:lineRule="auto"/>
        <w:outlineLvl w:val="3"/>
        <w:rPr>
          <w:rFonts w:asciiTheme="minorEastAsia" w:hAnsiTheme="minorEastAsia" w:eastAsia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/>
          <w:sz w:val="32"/>
          <w:szCs w:val="32"/>
          <w:lang w:eastAsia="zh-CN"/>
        </w:rPr>
        <w:t>2.1</w:t>
      </w:r>
      <w:r>
        <w:rPr>
          <w:rFonts w:asciiTheme="minorEastAsia" w:hAnsiTheme="minorEastAsia" w:eastAsiaTheme="minorEastAsia"/>
          <w:sz w:val="32"/>
          <w:szCs w:val="32"/>
          <w:lang w:eastAsia="zh-CN"/>
        </w:rPr>
        <w:t>.1</w:t>
      </w:r>
      <w:r>
        <w:rPr>
          <w:rFonts w:hint="eastAsia" w:asciiTheme="minorEastAsia" w:hAnsiTheme="minorEastAsia" w:eastAsiaTheme="minorEastAsia"/>
          <w:sz w:val="32"/>
          <w:szCs w:val="32"/>
          <w:lang w:eastAsia="zh-CN"/>
        </w:rPr>
        <w:t>登录</w:t>
      </w:r>
    </w:p>
    <w:p w14:paraId="29FADEDF"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 xml:space="preserve">1、首先登录平台界面 </w:t>
      </w:r>
      <w:r>
        <w:fldChar w:fldCharType="begin"/>
      </w:r>
      <w:r>
        <w:instrText xml:space="preserve"> HYPERLINK "http://yqgl.hunnu.edu.cn/lims/" \t "/Users/mac/Documents\x/_blank" </w:instrText>
      </w:r>
      <w:r>
        <w:fldChar w:fldCharType="separate"/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http://yqgl.hunnu.edu.cn/lims/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fldChar w:fldCharType="end"/>
      </w:r>
      <w:r>
        <w:rPr>
          <w:rFonts w:hint="eastAsia" w:cs="Helvetica Neue" w:asciiTheme="minorEastAsia" w:hAnsiTheme="minorEastAsia" w:eastAsiaTheme="minorEastAsia"/>
          <w:sz w:val="40"/>
          <w:szCs w:val="40"/>
          <w:shd w:val="clear" w:color="auto" w:fill="FFFFFF"/>
          <w:lang w:eastAsia="zh-CN" w:bidi="ar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点击登录</w:t>
      </w:r>
    </w:p>
    <w:p w14:paraId="1F2229C6">
      <w:pPr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4726305" cy="2348865"/>
            <wp:effectExtent l="0" t="0" r="2349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E737">
      <w:pPr>
        <w:spacing w:line="360" w:lineRule="auto"/>
        <w:rPr>
          <w:rFonts w:asciiTheme="minorEastAsia" w:hAnsiTheme="minorEastAsia" w:eastAsiaTheme="minorEastAsia"/>
          <w:lang w:eastAsia="zh-CN"/>
        </w:rPr>
      </w:pPr>
    </w:p>
    <w:p w14:paraId="4EDAE50B">
      <w:pPr>
        <w:spacing w:line="360" w:lineRule="auto"/>
        <w:outlineLvl w:val="3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2.1.</w:t>
      </w:r>
      <w:r>
        <w:rPr>
          <w:rFonts w:asciiTheme="minorEastAsia" w:hAnsiTheme="minorEastAsia" w:eastAsiaTheme="minorEastAsia"/>
          <w:sz w:val="28"/>
          <w:szCs w:val="28"/>
          <w:lang w:eastAsia="zh-CN"/>
        </w:rPr>
        <w:t>2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报销管理</w:t>
      </w:r>
    </w:p>
    <w:p w14:paraId="07313925">
      <w:pPr>
        <w:numPr>
          <w:ilvl w:val="0"/>
          <w:numId w:val="2"/>
        </w:numPr>
        <w:spacing w:line="360" w:lineRule="auto"/>
        <w:rPr>
          <w:rFonts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lang w:eastAsia="zh-CN"/>
        </w:rPr>
        <w:t>财务管理-点击报销管理</w:t>
      </w:r>
    </w:p>
    <w:p w14:paraId="6E9E262F">
      <w:pPr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310765" cy="1149985"/>
            <wp:effectExtent l="0" t="0" r="63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286000" cy="1132840"/>
            <wp:effectExtent l="0" t="0" r="0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1AF83">
      <w:pPr>
        <w:spacing w:line="360" w:lineRule="auto"/>
        <w:outlineLvl w:val="3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2.1.3组内经费</w:t>
      </w:r>
    </w:p>
    <w:p w14:paraId="1AC7AEDA">
      <w:pPr>
        <w:numPr>
          <w:ilvl w:val="0"/>
          <w:numId w:val="3"/>
        </w:numPr>
        <w:spacing w:before="120" w:after="120" w:line="360" w:lineRule="auto"/>
        <w:rPr>
          <w:rFonts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lang w:eastAsia="zh-CN"/>
        </w:rPr>
        <w:t>PI/ PI助理在【我的经费】中可查看/搜索PI所有经费信息，点击更新可实时更新经费卡信息，点击查看余额可查看经费卡剩余额度</w:t>
      </w:r>
    </w:p>
    <w:p w14:paraId="31C6630E">
      <w:pPr>
        <w:spacing w:before="120" w:after="120" w:line="360" w:lineRule="auto"/>
        <w:rPr>
          <w:rFonts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lang w:eastAsia="zh-CN"/>
        </w:rPr>
        <w:drawing>
          <wp:inline distT="0" distB="0" distL="114300" distR="114300">
            <wp:extent cx="2319020" cy="1054100"/>
            <wp:effectExtent l="0" t="0" r="17780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708910" cy="1080135"/>
            <wp:effectExtent l="0" t="0" r="8890" b="1206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483D">
      <w:pPr>
        <w:numPr>
          <w:ilvl w:val="0"/>
          <w:numId w:val="3"/>
        </w:numPr>
        <w:spacing w:before="120" w:after="120" w:line="360" w:lineRule="auto"/>
        <w:rPr>
          <w:rFonts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lang w:eastAsia="zh-CN"/>
        </w:rPr>
        <w:t>PI/PI助理点击【添加授权】可添加该经费卡授权人员，点击「查看授权」，可查看该经费卡的可用人员范围</w:t>
      </w:r>
    </w:p>
    <w:p w14:paraId="119BBEE1">
      <w:pPr>
        <w:spacing w:before="120" w:after="120" w:line="360" w:lineRule="auto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456815" cy="947420"/>
            <wp:effectExtent l="0" t="0" r="6985" b="177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225675" cy="956945"/>
            <wp:effectExtent l="0" t="0" r="9525" b="825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378AF">
      <w:pPr>
        <w:numPr>
          <w:ilvl w:val="0"/>
          <w:numId w:val="3"/>
        </w:numPr>
        <w:spacing w:before="120" w:after="120" w:line="360" w:lineRule="auto"/>
        <w:rPr>
          <w:rFonts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lang w:eastAsia="zh-CN"/>
        </w:rPr>
        <w:t>PI/ PI助理可以在【经费管理】中，添加经费卡的可用人员</w:t>
      </w:r>
    </w:p>
    <w:p w14:paraId="2D187562">
      <w:pPr>
        <w:spacing w:line="360" w:lineRule="auto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357120" cy="908050"/>
            <wp:effectExtent l="0" t="0" r="5080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310130" cy="894080"/>
            <wp:effectExtent l="0" t="0" r="1270" b="2032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894E">
      <w:pPr>
        <w:spacing w:before="120" w:after="120" w:line="360" w:lineRule="auto"/>
        <w:rPr>
          <w:rFonts w:asciiTheme="minorEastAsia" w:hAnsiTheme="minorEastAsia" w:eastAsiaTheme="minorEastAsia"/>
          <w:sz w:val="22"/>
        </w:rPr>
      </w:pPr>
      <w:r>
        <w:rPr>
          <w:rFonts w:asciiTheme="minorEastAsia" w:hAnsiTheme="minorEastAsia" w:eastAsiaTheme="minorEastAsia"/>
          <w:sz w:val="22"/>
        </w:rPr>
        <w:t>PI/ PI助理可对组内学生勾选是否可用此张经费卡，并选择授权方式</w:t>
      </w:r>
    </w:p>
    <w:p w14:paraId="771A9F0E">
      <w:pPr>
        <w:numPr>
          <w:ilvl w:val="0"/>
          <w:numId w:val="4"/>
        </w:numPr>
        <w:spacing w:before="120" w:after="120" w:line="360" w:lineRule="auto"/>
        <w:rPr>
          <w:rFonts w:asciiTheme="minorEastAsia" w:hAnsiTheme="minorEastAsia" w:eastAsiaTheme="minorEastAsia"/>
          <w:sz w:val="22"/>
          <w:lang w:eastAsia="zh-CN"/>
        </w:rPr>
      </w:pPr>
      <w:r>
        <w:rPr>
          <w:rFonts w:asciiTheme="minorEastAsia" w:hAnsiTheme="minorEastAsia" w:eastAsiaTheme="minorEastAsia"/>
          <w:sz w:val="22"/>
        </w:rPr>
        <w:t>选择“余额共享”，点击“显示金额”，可查看此张经费卡实时余额</w:t>
      </w:r>
    </w:p>
    <w:p w14:paraId="4F37BC49">
      <w:pPr>
        <w:numPr>
          <w:ilvl w:val="0"/>
          <w:numId w:val="4"/>
        </w:numPr>
        <w:spacing w:before="120" w:after="120" w:line="360" w:lineRule="auto"/>
        <w:rPr>
          <w:rFonts w:asciiTheme="minorEastAsia" w:hAnsiTheme="minorEastAsia" w:eastAsiaTheme="minorEastAsia"/>
          <w:sz w:val="22"/>
          <w:lang w:eastAsia="zh-CN"/>
        </w:rPr>
      </w:pPr>
      <w:r>
        <w:rPr>
          <w:rFonts w:asciiTheme="minorEastAsia" w:hAnsiTheme="minorEastAsia" w:eastAsiaTheme="minorEastAsia"/>
          <w:sz w:val="22"/>
        </w:rPr>
        <w:t>选择“额度授权”，可输入大于0的授权金额给此用户使用，可查看被授权用户已使用该张经费卡支付的金额</w:t>
      </w:r>
    </w:p>
    <w:p w14:paraId="1E6CCA1A">
      <w:pPr>
        <w:tabs>
          <w:tab w:val="left" w:pos="420"/>
        </w:tabs>
        <w:spacing w:before="120" w:after="120"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576195" cy="1275080"/>
            <wp:effectExtent l="0" t="0" r="14605" b="203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585720" cy="1289685"/>
            <wp:effectExtent l="0" t="0" r="5080" b="57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3A52">
      <w:pPr>
        <w:spacing w:before="120" w:after="120" w:line="288" w:lineRule="auto"/>
        <w:rPr>
          <w:rFonts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lang w:eastAsia="zh-CN"/>
        </w:rPr>
        <w:t>4、</w:t>
      </w:r>
      <w:r>
        <w:rPr>
          <w:rFonts w:asciiTheme="minorEastAsia" w:hAnsiTheme="minorEastAsia" w:eastAsiaTheme="minorEastAsia"/>
          <w:sz w:val="22"/>
        </w:rPr>
        <w:t>PI/ PI助理可对其他组PI勾选是否可用此张经费卡，并进行额度授权</w:t>
      </w:r>
    </w:p>
    <w:p w14:paraId="1FB00484">
      <w:pPr>
        <w:tabs>
          <w:tab w:val="left" w:pos="420"/>
        </w:tabs>
        <w:spacing w:before="120" w:after="120" w:line="360" w:lineRule="auto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5265420" cy="2626995"/>
            <wp:effectExtent l="0" t="0" r="17780" b="1460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D3F8">
      <w:pPr>
        <w:spacing w:line="360" w:lineRule="auto"/>
        <w:outlineLvl w:val="3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2.1.4经费使用</w:t>
      </w:r>
    </w:p>
    <w:p w14:paraId="7F8C97C3">
      <w:pPr>
        <w:spacing w:before="120" w:after="120" w:line="360" w:lineRule="auto"/>
        <w:rPr>
          <w:rFonts w:asciiTheme="minorEastAsia" w:hAnsiTheme="minorEastAsia" w:eastAsiaTheme="minorEastAsia"/>
          <w:sz w:val="22"/>
        </w:rPr>
      </w:pPr>
      <w:r>
        <w:rPr>
          <w:rFonts w:asciiTheme="minorEastAsia" w:hAnsiTheme="minorEastAsia" w:eastAsiaTheme="minorEastAsia"/>
          <w:sz w:val="22"/>
        </w:rPr>
        <w:t>课题组组成员预约/送样时，在填写「预约信息」时可选择</w:t>
      </w:r>
      <w:r>
        <w:rPr>
          <w:rFonts w:hint="eastAsia" w:asciiTheme="minorEastAsia" w:hAnsiTheme="minorEastAsia" w:eastAsiaTheme="minorEastAsia"/>
          <w:sz w:val="22"/>
          <w:lang w:eastAsia="zh-CN"/>
        </w:rPr>
        <w:t>PI已授权的</w:t>
      </w:r>
      <w:r>
        <w:rPr>
          <w:rFonts w:asciiTheme="minorEastAsia" w:hAnsiTheme="minorEastAsia" w:eastAsiaTheme="minorEastAsia"/>
          <w:sz w:val="22"/>
        </w:rPr>
        <w:t>经费卡。使用/检测完毕后，可在「仪器管理-使用收费」中查看对应的仪器收费记录</w:t>
      </w:r>
    </w:p>
    <w:p w14:paraId="417DFDDA">
      <w:pPr>
        <w:spacing w:before="120" w:after="120"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0" distR="0">
            <wp:extent cx="5239385" cy="2876550"/>
            <wp:effectExtent l="0" t="0" r="18415" b="19050"/>
            <wp:docPr id="19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33FA">
      <w:pPr>
        <w:spacing w:line="360" w:lineRule="auto"/>
        <w:outlineLvl w:val="3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2.1.5经费确认</w:t>
      </w:r>
    </w:p>
    <w:p w14:paraId="5F290EEA">
      <w:pPr>
        <w:spacing w:before="120" w:after="120" w:line="288" w:lineRule="auto"/>
        <w:rPr>
          <w:rFonts w:asciiTheme="minorEastAsia" w:hAnsiTheme="minorEastAsia" w:eastAsiaTheme="minorEastAsia"/>
          <w:sz w:val="22"/>
        </w:rPr>
      </w:pPr>
      <w:r>
        <w:rPr>
          <w:rFonts w:hint="eastAsia" w:asciiTheme="minorEastAsia" w:hAnsiTheme="minorEastAsia" w:eastAsiaTheme="minorEastAsia"/>
          <w:sz w:val="22"/>
          <w:lang w:eastAsia="zh-CN"/>
        </w:rPr>
        <w:t>1、</w:t>
      </w:r>
      <w:r>
        <w:rPr>
          <w:rFonts w:asciiTheme="minorEastAsia" w:hAnsiTheme="minorEastAsia" w:eastAsiaTheme="minorEastAsia"/>
          <w:sz w:val="22"/>
        </w:rPr>
        <w:t>PI/ PI助理在「结算项目-</w:t>
      </w:r>
      <w:r>
        <w:rPr>
          <w:rFonts w:hint="eastAsia" w:asciiTheme="minorEastAsia" w:hAnsiTheme="minorEastAsia" w:eastAsiaTheme="minorEastAsia"/>
          <w:sz w:val="22"/>
          <w:lang w:eastAsia="zh-CN"/>
        </w:rPr>
        <w:t>组内结算项目</w:t>
      </w:r>
      <w:r>
        <w:rPr>
          <w:rFonts w:asciiTheme="minorEastAsia" w:hAnsiTheme="minorEastAsia" w:eastAsiaTheme="minorEastAsia"/>
          <w:sz w:val="22"/>
        </w:rPr>
        <w:t>」中可查看本课题组的结算项目，点击「修改经费卡号」可选择用其他经费卡/本地余额支付本次项目，可选中多项项目批量修改经费卡</w:t>
      </w:r>
      <w:r>
        <w:rPr>
          <w:rFonts w:hint="eastAsia" w:asciiTheme="minorEastAsia" w:hAnsiTheme="minorEastAsia" w:eastAsiaTheme="minorEastAsia"/>
          <w:sz w:val="22"/>
          <w:lang w:eastAsia="zh-CN"/>
        </w:rPr>
        <w:t>（备注：PI/ PI助理可以选择PI或他人的经费卡用于支付该笔收费）</w:t>
      </w:r>
    </w:p>
    <w:p w14:paraId="43AF31BD">
      <w:pPr>
        <w:spacing w:before="120" w:after="120" w:line="288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400300" cy="1188720"/>
            <wp:effectExtent l="0" t="0" r="12700" b="508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385060" cy="1196340"/>
            <wp:effectExtent l="0" t="0" r="2540" b="2286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8EA61">
      <w:pPr>
        <w:spacing w:before="120" w:after="120" w:line="288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lang w:eastAsia="zh-CN"/>
        </w:rPr>
        <w:t>2、</w:t>
      </w:r>
      <w:r>
        <w:rPr>
          <w:rFonts w:asciiTheme="minorEastAsia" w:hAnsiTheme="minorEastAsia" w:eastAsiaTheme="minorEastAsia"/>
          <w:sz w:val="22"/>
        </w:rPr>
        <w:t>PI/ PI助理在「结算项目-组内结算项目」中对调整无误的报销项目进行确认/批量确认操作，系统自动判断是否优先使用该课题组的本地余额，判断规则如下：</w:t>
      </w:r>
    </w:p>
    <w:p w14:paraId="50653AEF">
      <w:pPr>
        <w:numPr>
          <w:ilvl w:val="0"/>
          <w:numId w:val="5"/>
        </w:numPr>
        <w:spacing w:before="120" w:after="120" w:line="288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sz w:val="22"/>
        </w:rPr>
        <w:t>若本地余额≥本次收费金额，则使用本地余额支付项目，确认成功后，PI/PI助理可直接查看「批次单」中已生成的此次结算项目报销单&amp;批次单。</w:t>
      </w:r>
    </w:p>
    <w:p w14:paraId="50D60A28">
      <w:pPr>
        <w:numPr>
          <w:ilvl w:val="0"/>
          <w:numId w:val="5"/>
        </w:numPr>
        <w:spacing w:before="120" w:after="120" w:line="288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sz w:val="22"/>
        </w:rPr>
        <w:t>若本地余额＜本次收费金额，则使用经费卡支付/本地余额与经费卡余额组合支付。若经费卡产生支付金额，则财务中该项目对应经费卡额度将在财务系统实时冻结。</w:t>
      </w:r>
    </w:p>
    <w:p w14:paraId="516A3D17">
      <w:pPr>
        <w:spacing w:before="120" w:after="120" w:line="288" w:lineRule="auto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569845" cy="1273175"/>
            <wp:effectExtent l="0" t="0" r="20955" b="2222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559050" cy="1287145"/>
            <wp:effectExtent l="0" t="0" r="6350" b="825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5FCF">
      <w:pPr>
        <w:spacing w:line="360" w:lineRule="auto"/>
        <w:outlineLvl w:val="3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2.1.6经费撤回</w:t>
      </w:r>
    </w:p>
    <w:p w14:paraId="3793107A">
      <w:pPr>
        <w:spacing w:line="360" w:lineRule="auto"/>
        <w:rPr>
          <w:rFonts w:asciiTheme="minorEastAsia" w:hAnsiTheme="minorEastAsia" w:eastAsiaTheme="minorEastAsia"/>
          <w:sz w:val="22"/>
        </w:rPr>
      </w:pPr>
      <w:r>
        <w:rPr>
          <w:rFonts w:asciiTheme="minorEastAsia" w:hAnsiTheme="minorEastAsia" w:eastAsiaTheme="minorEastAsia"/>
          <w:sz w:val="22"/>
        </w:rPr>
        <w:t>PI/PI助理点击「撤回收费」可对选中的报销项目进行撤回操作，撤回报销项目后，仪器机主将收到系统消息提醒。可选中多项项目批量撤回</w:t>
      </w:r>
    </w:p>
    <w:p w14:paraId="4DEA5B94">
      <w:pPr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387600" cy="1178560"/>
            <wp:effectExtent l="0" t="0" r="0" b="1524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lang w:eastAsia="zh-CN"/>
        </w:rPr>
        <w:drawing>
          <wp:inline distT="0" distB="0" distL="114300" distR="114300">
            <wp:extent cx="2411730" cy="1180465"/>
            <wp:effectExtent l="0" t="0" r="1270" b="1333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26F9C">
      <w:pPr>
        <w:spacing w:line="360" w:lineRule="auto"/>
        <w:outlineLvl w:val="3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2.1.7生成批次单</w:t>
      </w:r>
    </w:p>
    <w:p w14:paraId="331A53C5">
      <w:pPr>
        <w:spacing w:line="360" w:lineRule="auto"/>
        <w:rPr>
          <w:rFonts w:asciiTheme="minorEastAsia" w:hAnsiTheme="minorEastAsia" w:eastAsiaTheme="minorEastAsia"/>
          <w:sz w:val="22"/>
        </w:rPr>
      </w:pPr>
      <w:r>
        <w:rPr>
          <w:rFonts w:hint="eastAsia" w:asciiTheme="minorEastAsia" w:hAnsiTheme="minorEastAsia" w:eastAsiaTheme="minorEastAsia"/>
          <w:sz w:val="22"/>
          <w:lang w:eastAsia="zh-CN"/>
        </w:rPr>
        <w:t>1、</w:t>
      </w:r>
      <w:r>
        <w:rPr>
          <w:rFonts w:asciiTheme="minorEastAsia" w:hAnsiTheme="minorEastAsia" w:eastAsiaTheme="minorEastAsia"/>
          <w:sz w:val="22"/>
        </w:rPr>
        <w:t>PI/PI助理在「报销管理-批次单」页可见本课题组的批次单</w:t>
      </w:r>
    </w:p>
    <w:p w14:paraId="53158E5A">
      <w:pPr>
        <w:numPr>
          <w:ilvl w:val="0"/>
          <w:numId w:val="6"/>
        </w:numPr>
        <w:spacing w:before="120" w:after="120" w:line="288" w:lineRule="auto"/>
        <w:ind w:left="453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z w:val="22"/>
          <w:lang w:eastAsia="zh-CN"/>
        </w:rPr>
        <w:t>针对“待报销”的批次单：</w:t>
      </w:r>
    </w:p>
    <w:p w14:paraId="35575FF4">
      <w:pPr>
        <w:numPr>
          <w:ilvl w:val="0"/>
          <w:numId w:val="7"/>
        </w:numPr>
        <w:spacing w:before="120" w:after="120" w:line="288" w:lineRule="auto"/>
        <w:ind w:left="907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z w:val="22"/>
          <w:lang w:eastAsia="zh-CN"/>
        </w:rPr>
        <w:t>【查看】：点击可查看该批次的报销单列表及详细信息；</w:t>
      </w:r>
    </w:p>
    <w:p w14:paraId="568D287F">
      <w:pPr>
        <w:numPr>
          <w:ilvl w:val="0"/>
          <w:numId w:val="8"/>
        </w:numPr>
        <w:spacing w:before="120" w:after="120" w:line="288" w:lineRule="auto"/>
        <w:ind w:left="907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z w:val="22"/>
          <w:lang w:eastAsia="zh-CN"/>
        </w:rPr>
        <w:t>【提交报销】：点击大仪系统可将报销数据（批次号、报销单号、支付经费卡号、报销额度）发送给财务系统。系统自动验证该批次经费卡是否存在解冻数据:</w:t>
      </w:r>
    </w:p>
    <w:p w14:paraId="2392E817">
      <w:pPr>
        <w:numPr>
          <w:ilvl w:val="0"/>
          <w:numId w:val="9"/>
        </w:numPr>
        <w:spacing w:before="120" w:after="120" w:line="288" w:lineRule="auto"/>
        <w:ind w:left="907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z w:val="22"/>
          <w:lang w:eastAsia="zh-CN"/>
        </w:rPr>
        <w:t>如该批次经费卡中不存在解冻行为，则该批次结算项目全部提交至财务系统；</w:t>
      </w:r>
    </w:p>
    <w:p w14:paraId="1A24DAB1">
      <w:pPr>
        <w:numPr>
          <w:ilvl w:val="0"/>
          <w:numId w:val="10"/>
        </w:numPr>
        <w:spacing w:before="120" w:after="120" w:line="288" w:lineRule="auto"/>
        <w:ind w:left="907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sz w:val="22"/>
          <w:lang w:eastAsia="zh-CN"/>
        </w:rPr>
        <w:t>如存在解冻行为，则涉及该经费卡的结算项目全部撤回至「结算项目」中，由PI/PI助理重新选择经费卡再次确认。</w:t>
      </w:r>
    </w:p>
    <w:p w14:paraId="3A7FE490">
      <w:pPr>
        <w:spacing w:before="120" w:after="120" w:line="288" w:lineRule="auto"/>
        <w:rPr>
          <w:rFonts w:asciiTheme="minorEastAsia" w:hAnsiTheme="minorEastAsia" w:eastAsiaTheme="minorEastAsia"/>
          <w:lang w:eastAsia="zh-CN"/>
        </w:rPr>
      </w:pPr>
      <w:r>
        <w:rPr>
          <w:rFonts w:hint="eastAsia" w:asciiTheme="minorEastAsia" w:hAnsiTheme="minorEastAsia" w:eastAsiaTheme="minorEastAsia"/>
          <w:sz w:val="22"/>
          <w:lang w:eastAsia="zh-CN"/>
        </w:rPr>
        <w:t>2、</w:t>
      </w:r>
      <w:r>
        <w:rPr>
          <w:rFonts w:asciiTheme="minorEastAsia" w:hAnsiTheme="minorEastAsia" w:eastAsiaTheme="minorEastAsia"/>
          <w:sz w:val="22"/>
          <w:lang w:eastAsia="zh-CN"/>
        </w:rPr>
        <w:t>针对“报销中”的批次单，可【打印】批次单，定期将批次单线下交至财务处转账，财务处转账完成，返回转账成功批次号。</w:t>
      </w:r>
    </w:p>
    <w:p w14:paraId="08482A97">
      <w:pPr>
        <w:spacing w:before="120" w:after="120" w:line="288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 w:val="22"/>
          <w:lang w:eastAsia="zh-CN"/>
        </w:rPr>
        <w:t>3、</w:t>
      </w:r>
      <w:r>
        <w:rPr>
          <w:rFonts w:asciiTheme="minorEastAsia" w:hAnsiTheme="minorEastAsia" w:eastAsiaTheme="minorEastAsia"/>
          <w:sz w:val="22"/>
        </w:rPr>
        <w:t>针对“已报销”的批次单，可【查看】该批次的报销单及报销单明细。</w:t>
      </w:r>
    </w:p>
    <w:p w14:paraId="6B01C7E3">
      <w:pPr>
        <w:spacing w:line="360" w:lineRule="auto"/>
        <w:outlineLvl w:val="3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drawing>
          <wp:inline distT="0" distB="0" distL="0" distR="0">
            <wp:extent cx="5257800" cy="2724150"/>
            <wp:effectExtent l="0" t="0" r="0" b="19050"/>
            <wp:docPr id="27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PingFang SC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Malgun Gothic Semilight">
    <w:altName w:val="Malgun Goth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Segoe UI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2FD5D4"/>
    <w:multiLevelType w:val="singleLevel"/>
    <w:tmpl w:val="B52FD5D4"/>
    <w:lvl w:ilvl="0" w:tentative="0">
      <w:start w:val="2"/>
      <w:numFmt w:val="lowerRoman"/>
      <w:lvlText w:val="%1.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">
    <w:nsid w:val="BEFEA101"/>
    <w:multiLevelType w:val="singleLevel"/>
    <w:tmpl w:val="BEFEA101"/>
    <w:lvl w:ilvl="0" w:tentative="0">
      <w:start w:val="4"/>
      <w:numFmt w:val="lowerRoman"/>
      <w:lvlText w:val="%1.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2">
    <w:nsid w:val="BFB67054"/>
    <w:multiLevelType w:val="singleLevel"/>
    <w:tmpl w:val="BFB67054"/>
    <w:lvl w:ilvl="0" w:tentative="0">
      <w:start w:val="1"/>
      <w:numFmt w:val="lowerLetter"/>
      <w:lvlText w:val="%1.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3">
    <w:nsid w:val="DE4B11FD"/>
    <w:multiLevelType w:val="singleLevel"/>
    <w:tmpl w:val="DE4B11FD"/>
    <w:lvl w:ilvl="0" w:tentative="0">
      <w:start w:val="1"/>
      <w:numFmt w:val="lowerRoman"/>
      <w:lvlText w:val="%1.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4">
    <w:nsid w:val="EAF857DD"/>
    <w:multiLevelType w:val="singleLevel"/>
    <w:tmpl w:val="EAF857DD"/>
    <w:lvl w:ilvl="0" w:tentative="0">
      <w:start w:val="1"/>
      <w:numFmt w:val="lowerRoman"/>
      <w:lvlText w:val="%1.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5">
    <w:nsid w:val="FFDB7771"/>
    <w:multiLevelType w:val="singleLevel"/>
    <w:tmpl w:val="FFDB7771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976BDCF"/>
    <w:multiLevelType w:val="singleLevel"/>
    <w:tmpl w:val="5976BDC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6A69C307"/>
    <w:multiLevelType w:val="singleLevel"/>
    <w:tmpl w:val="6A69C307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7D5FD2AF"/>
    <w:multiLevelType w:val="singleLevel"/>
    <w:tmpl w:val="7D5FD2AF"/>
    <w:lvl w:ilvl="0" w:tentative="0">
      <w:start w:val="1"/>
      <w:numFmt w:val="lowerRoman"/>
      <w:lvlText w:val="%1.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9">
    <w:nsid w:val="7FFBB68A"/>
    <w:multiLevelType w:val="singleLevel"/>
    <w:tmpl w:val="7FFBB68A"/>
    <w:lvl w:ilvl="0" w:tentative="0">
      <w:start w:val="3"/>
      <w:numFmt w:val="lowerRoman"/>
      <w:lvlText w:val="%1.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0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C83"/>
    <w:rsid w:val="004845F8"/>
    <w:rsid w:val="006D72C8"/>
    <w:rsid w:val="008F3C83"/>
    <w:rsid w:val="01702F40"/>
    <w:rsid w:val="5C2F88D5"/>
    <w:rsid w:val="79FB77F5"/>
    <w:rsid w:val="F9DDB795"/>
    <w:rsid w:val="FF6F8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eastAsia="黑体"/>
      <w:b/>
      <w:sz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1132</Words>
  <Characters>1248</Characters>
  <Lines>10</Lines>
  <Paragraphs>3</Paragraphs>
  <TotalTime>1</TotalTime>
  <ScaleCrop>false</ScaleCrop>
  <LinksUpToDate>false</LinksUpToDate>
  <CharactersWithSpaces>1335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2025-03-11T08:08:00Z</dcterms:created>
  <dc:creator>Data</dc:creator>
  <cp:lastModifiedBy>zc</cp:lastModifiedBy>
  <dcterms:modified xsi:type="dcterms:W3CDTF">2025-04-22T02:57:25Z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7F78E706D5234C319F3D7AA409D0ECCF_13</vt:lpwstr>
  </property>
</Properties>
</file>